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F14F1" w14:textId="77777777" w:rsidR="001B74F2" w:rsidRPr="001B74F2" w:rsidRDefault="001B74F2" w:rsidP="001B74F2">
      <w:pPr>
        <w:pStyle w:val="Sinespaciado"/>
        <w:jc w:val="center"/>
        <w:rPr>
          <w:rFonts w:ascii="Arial" w:hAnsi="Arial" w:cs="Arial"/>
          <w:b/>
          <w:bCs/>
          <w:sz w:val="24"/>
          <w:szCs w:val="24"/>
        </w:rPr>
      </w:pPr>
      <w:r w:rsidRPr="001B74F2">
        <w:rPr>
          <w:rFonts w:ascii="Arial" w:hAnsi="Arial" w:cs="Arial"/>
          <w:b/>
          <w:bCs/>
          <w:sz w:val="24"/>
          <w:szCs w:val="24"/>
        </w:rPr>
        <w:t>ANA PATY PERALTA CONSTRUYE UNA CIUDAD MÁS ORDENADA, ACCESIBLE Y SEGURA PARA TODOS</w:t>
      </w:r>
    </w:p>
    <w:p w14:paraId="56E3322C" w14:textId="77777777" w:rsidR="001B74F2" w:rsidRPr="001B74F2" w:rsidRDefault="001B74F2" w:rsidP="001B74F2">
      <w:pPr>
        <w:pStyle w:val="Sinespaciado"/>
        <w:jc w:val="both"/>
        <w:rPr>
          <w:rFonts w:ascii="Arial" w:hAnsi="Arial" w:cs="Arial"/>
          <w:sz w:val="24"/>
          <w:szCs w:val="24"/>
        </w:rPr>
      </w:pPr>
    </w:p>
    <w:p w14:paraId="6508ACE8"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w:t>
      </w:r>
      <w:proofErr w:type="gramStart"/>
      <w:r w:rsidRPr="001B74F2">
        <w:rPr>
          <w:rFonts w:ascii="Tahoma" w:hAnsi="Tahoma" w:cs="Tahoma"/>
          <w:sz w:val="24"/>
          <w:szCs w:val="24"/>
        </w:rPr>
        <w:t>⁠</w:t>
      </w:r>
      <w:r w:rsidRPr="001B74F2">
        <w:rPr>
          <w:rFonts w:ascii="Arial" w:hAnsi="Arial" w:cs="Arial"/>
          <w:sz w:val="24"/>
          <w:szCs w:val="24"/>
        </w:rPr>
        <w:t xml:space="preserve">  </w:t>
      </w:r>
      <w:r w:rsidRPr="001B74F2">
        <w:rPr>
          <w:rFonts w:ascii="Tahoma" w:hAnsi="Tahoma" w:cs="Tahoma"/>
          <w:sz w:val="24"/>
          <w:szCs w:val="24"/>
        </w:rPr>
        <w:t>⁠</w:t>
      </w:r>
      <w:proofErr w:type="gramEnd"/>
      <w:r w:rsidRPr="001B74F2">
        <w:rPr>
          <w:rFonts w:ascii="Arial" w:hAnsi="Arial" w:cs="Arial"/>
          <w:sz w:val="24"/>
          <w:szCs w:val="24"/>
        </w:rPr>
        <w:t xml:space="preserve">10 cruces estratégicos en la ciudad implementados este 2025, con semáforos vehiculares y peatonales, para convertirlos en cruces seguros  </w:t>
      </w:r>
    </w:p>
    <w:p w14:paraId="18DE21D7" w14:textId="77777777" w:rsidR="001B74F2" w:rsidRPr="001B74F2" w:rsidRDefault="001B74F2" w:rsidP="001B74F2">
      <w:pPr>
        <w:pStyle w:val="Sinespaciado"/>
        <w:jc w:val="both"/>
        <w:rPr>
          <w:rFonts w:ascii="Arial" w:hAnsi="Arial" w:cs="Arial"/>
          <w:sz w:val="24"/>
          <w:szCs w:val="24"/>
        </w:rPr>
      </w:pPr>
    </w:p>
    <w:p w14:paraId="1CC4FB9E"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w:t>
      </w:r>
      <w:proofErr w:type="gramStart"/>
      <w:r w:rsidRPr="001B74F2">
        <w:rPr>
          <w:rFonts w:ascii="Tahoma" w:hAnsi="Tahoma" w:cs="Tahoma"/>
          <w:sz w:val="24"/>
          <w:szCs w:val="24"/>
        </w:rPr>
        <w:t>⁠</w:t>
      </w:r>
      <w:r w:rsidRPr="001B74F2">
        <w:rPr>
          <w:rFonts w:ascii="Arial" w:hAnsi="Arial" w:cs="Arial"/>
          <w:sz w:val="24"/>
          <w:szCs w:val="24"/>
        </w:rPr>
        <w:t xml:space="preserve">  </w:t>
      </w:r>
      <w:r w:rsidRPr="001B74F2">
        <w:rPr>
          <w:rFonts w:ascii="Tahoma" w:hAnsi="Tahoma" w:cs="Tahoma"/>
          <w:sz w:val="24"/>
          <w:szCs w:val="24"/>
        </w:rPr>
        <w:t>⁠</w:t>
      </w:r>
      <w:proofErr w:type="gramEnd"/>
      <w:r w:rsidRPr="001B74F2">
        <w:rPr>
          <w:rFonts w:ascii="Arial" w:hAnsi="Arial" w:cs="Arial"/>
          <w:sz w:val="24"/>
          <w:szCs w:val="24"/>
        </w:rPr>
        <w:t xml:space="preserve">La Presidenta Municipal constató el avance del 98 por ciento en el cruce de las avenidas México y Politécnico </w:t>
      </w:r>
    </w:p>
    <w:p w14:paraId="4BF58CF4" w14:textId="77777777" w:rsidR="001B74F2" w:rsidRPr="001B74F2" w:rsidRDefault="001B74F2" w:rsidP="001B74F2">
      <w:pPr>
        <w:pStyle w:val="Sinespaciado"/>
        <w:jc w:val="both"/>
        <w:rPr>
          <w:rFonts w:ascii="Arial" w:hAnsi="Arial" w:cs="Arial"/>
          <w:b/>
          <w:bCs/>
          <w:sz w:val="24"/>
          <w:szCs w:val="24"/>
        </w:rPr>
      </w:pPr>
    </w:p>
    <w:p w14:paraId="262D3B18" w14:textId="77777777" w:rsidR="001B74F2" w:rsidRPr="001B74F2" w:rsidRDefault="001B74F2" w:rsidP="001B74F2">
      <w:pPr>
        <w:pStyle w:val="Sinespaciado"/>
        <w:jc w:val="both"/>
        <w:rPr>
          <w:rFonts w:ascii="Arial" w:hAnsi="Arial" w:cs="Arial"/>
          <w:sz w:val="24"/>
          <w:szCs w:val="24"/>
        </w:rPr>
      </w:pPr>
      <w:r w:rsidRPr="001B74F2">
        <w:rPr>
          <w:rFonts w:ascii="Arial" w:hAnsi="Arial" w:cs="Arial"/>
          <w:b/>
          <w:bCs/>
          <w:sz w:val="24"/>
          <w:szCs w:val="24"/>
        </w:rPr>
        <w:t>Cancún, Q. R., a 30 de diciembre de 2025.-</w:t>
      </w:r>
      <w:r w:rsidRPr="001B74F2">
        <w:rPr>
          <w:rFonts w:ascii="Arial" w:hAnsi="Arial" w:cs="Arial"/>
          <w:sz w:val="24"/>
          <w:szCs w:val="24"/>
        </w:rPr>
        <w:t xml:space="preserve"> “Es exigencia de las y los ciudadanos contar con cruces semaforizados, sonoros, con accesibilidad universal para el ordenamiento vial, pero sobre todo para la seguridad de los peatones, para que la gente pueda cruzar la calle”, expresó la </w:t>
      </w:r>
      <w:proofErr w:type="gramStart"/>
      <w:r w:rsidRPr="001B74F2">
        <w:rPr>
          <w:rFonts w:ascii="Arial" w:hAnsi="Arial" w:cs="Arial"/>
          <w:sz w:val="24"/>
          <w:szCs w:val="24"/>
        </w:rPr>
        <w:t>Presidenta</w:t>
      </w:r>
      <w:proofErr w:type="gramEnd"/>
      <w:r w:rsidRPr="001B74F2">
        <w:rPr>
          <w:rFonts w:ascii="Arial" w:hAnsi="Arial" w:cs="Arial"/>
          <w:sz w:val="24"/>
          <w:szCs w:val="24"/>
        </w:rPr>
        <w:t xml:space="preserve"> Municipal, Ana Paty Peralta, al hacer un balance de los logros alcanzados en este 2025 sobre obras de semaforización y cruces seguros en diferentes puntos de la ciudad. </w:t>
      </w:r>
    </w:p>
    <w:p w14:paraId="3040C204" w14:textId="77777777" w:rsidR="001B74F2" w:rsidRPr="001B74F2" w:rsidRDefault="001B74F2" w:rsidP="001B74F2">
      <w:pPr>
        <w:pStyle w:val="Sinespaciado"/>
        <w:jc w:val="both"/>
        <w:rPr>
          <w:rFonts w:ascii="Arial" w:hAnsi="Arial" w:cs="Arial"/>
          <w:sz w:val="24"/>
          <w:szCs w:val="24"/>
        </w:rPr>
      </w:pPr>
    </w:p>
    <w:p w14:paraId="3F5FD311"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La Primera Autoridad Municipal recordó que el proyecto de Modernización de la Red de Semáforos 2025 contempla la instalación y actualización de semáforos vehiculares y peatonales en 10 cruceros estratégicos de la ciudad, así como las adecuaciones para que se conviertan en cruces seguros. </w:t>
      </w:r>
    </w:p>
    <w:p w14:paraId="5A31152E" w14:textId="77777777" w:rsidR="001B74F2" w:rsidRPr="001B74F2" w:rsidRDefault="001B74F2" w:rsidP="001B74F2">
      <w:pPr>
        <w:pStyle w:val="Sinespaciado"/>
        <w:jc w:val="both"/>
        <w:rPr>
          <w:rFonts w:ascii="Arial" w:hAnsi="Arial" w:cs="Arial"/>
          <w:sz w:val="24"/>
          <w:szCs w:val="24"/>
        </w:rPr>
      </w:pPr>
    </w:p>
    <w:p w14:paraId="28067608"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Por un lado, dijo, en el primer caso se reemplaza los nuevos semáforos vehiculares con sus señales audibles para el semáforo peatonal, mientras </w:t>
      </w:r>
      <w:proofErr w:type="gramStart"/>
      <w:r w:rsidRPr="001B74F2">
        <w:rPr>
          <w:rFonts w:ascii="Arial" w:hAnsi="Arial" w:cs="Arial"/>
          <w:sz w:val="24"/>
          <w:szCs w:val="24"/>
        </w:rPr>
        <w:t>que</w:t>
      </w:r>
      <w:proofErr w:type="gramEnd"/>
      <w:r w:rsidRPr="001B74F2">
        <w:rPr>
          <w:rFonts w:ascii="Arial" w:hAnsi="Arial" w:cs="Arial"/>
          <w:sz w:val="24"/>
          <w:szCs w:val="24"/>
        </w:rPr>
        <w:t xml:space="preserve"> en el segundo caso, se les agrega elementos de infraestructura urbana para beneficio de las personas como: señalética horizontal y vertical, banquetas, rampas de concreto, líneas </w:t>
      </w:r>
      <w:proofErr w:type="spellStart"/>
      <w:r w:rsidRPr="001B74F2">
        <w:rPr>
          <w:rFonts w:ascii="Arial" w:hAnsi="Arial" w:cs="Arial"/>
          <w:sz w:val="24"/>
          <w:szCs w:val="24"/>
        </w:rPr>
        <w:t>podotáctiles</w:t>
      </w:r>
      <w:proofErr w:type="spellEnd"/>
      <w:r w:rsidRPr="001B74F2">
        <w:rPr>
          <w:rFonts w:ascii="Arial" w:hAnsi="Arial" w:cs="Arial"/>
          <w:sz w:val="24"/>
          <w:szCs w:val="24"/>
        </w:rPr>
        <w:t xml:space="preserve">, pozos de absorción y bolardos. </w:t>
      </w:r>
    </w:p>
    <w:p w14:paraId="1AEACF19" w14:textId="77777777" w:rsidR="001B74F2" w:rsidRPr="001B74F2" w:rsidRDefault="001B74F2" w:rsidP="001B74F2">
      <w:pPr>
        <w:pStyle w:val="Sinespaciado"/>
        <w:jc w:val="both"/>
        <w:rPr>
          <w:rFonts w:ascii="Arial" w:hAnsi="Arial" w:cs="Arial"/>
          <w:sz w:val="24"/>
          <w:szCs w:val="24"/>
        </w:rPr>
      </w:pPr>
    </w:p>
    <w:p w14:paraId="3D17C2C8"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Como ejemplo, realizó un recorrido de supervisión para constatar el avance del cruce de la avenida México con avenida Politécnico, en la Supermanzana 510, que suma el 98 por ciento y sólo le restan algunos detalles finales que están en revisión. </w:t>
      </w:r>
    </w:p>
    <w:p w14:paraId="53983E2F" w14:textId="77777777" w:rsidR="001B74F2" w:rsidRPr="001B74F2" w:rsidRDefault="001B74F2" w:rsidP="001B74F2">
      <w:pPr>
        <w:pStyle w:val="Sinespaciado"/>
        <w:jc w:val="both"/>
        <w:rPr>
          <w:rFonts w:ascii="Arial" w:hAnsi="Arial" w:cs="Arial"/>
          <w:sz w:val="24"/>
          <w:szCs w:val="24"/>
        </w:rPr>
      </w:pPr>
    </w:p>
    <w:p w14:paraId="12966E83"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En ese punto, Ana Paty Peralta subrayó que la avenida Politécnico, una de las más solicitadas por la ciudadanía, ha sido transformada de manera gradual a lo largo de su gobierno, ya que en una primera etapa se realizó la ampliación vial del tramo de </w:t>
      </w:r>
      <w:proofErr w:type="spellStart"/>
      <w:r w:rsidRPr="001B74F2">
        <w:rPr>
          <w:rFonts w:ascii="Arial" w:hAnsi="Arial" w:cs="Arial"/>
          <w:sz w:val="24"/>
          <w:szCs w:val="24"/>
        </w:rPr>
        <w:t>Tepich</w:t>
      </w:r>
      <w:proofErr w:type="spellEnd"/>
      <w:r w:rsidRPr="001B74F2">
        <w:rPr>
          <w:rFonts w:ascii="Arial" w:hAnsi="Arial" w:cs="Arial"/>
          <w:sz w:val="24"/>
          <w:szCs w:val="24"/>
        </w:rPr>
        <w:t xml:space="preserve"> a México y posteriormente de México a </w:t>
      </w:r>
      <w:proofErr w:type="spellStart"/>
      <w:r w:rsidRPr="001B74F2">
        <w:rPr>
          <w:rFonts w:ascii="Arial" w:hAnsi="Arial" w:cs="Arial"/>
          <w:sz w:val="24"/>
          <w:szCs w:val="24"/>
        </w:rPr>
        <w:t>Chac</w:t>
      </w:r>
      <w:proofErr w:type="spellEnd"/>
      <w:r w:rsidRPr="001B74F2">
        <w:rPr>
          <w:rFonts w:ascii="Arial" w:hAnsi="Arial" w:cs="Arial"/>
          <w:sz w:val="24"/>
          <w:szCs w:val="24"/>
        </w:rPr>
        <w:t xml:space="preserve"> </w:t>
      </w:r>
      <w:proofErr w:type="spellStart"/>
      <w:r w:rsidRPr="001B74F2">
        <w:rPr>
          <w:rFonts w:ascii="Arial" w:hAnsi="Arial" w:cs="Arial"/>
          <w:sz w:val="24"/>
          <w:szCs w:val="24"/>
        </w:rPr>
        <w:t>Mool</w:t>
      </w:r>
      <w:proofErr w:type="spellEnd"/>
      <w:r w:rsidRPr="001B74F2">
        <w:rPr>
          <w:rFonts w:ascii="Arial" w:hAnsi="Arial" w:cs="Arial"/>
          <w:sz w:val="24"/>
          <w:szCs w:val="24"/>
        </w:rPr>
        <w:t>, acciones que hoy fortalecen el proceso integral de renovación de esta importante ruta.</w:t>
      </w:r>
    </w:p>
    <w:p w14:paraId="301A5E79" w14:textId="77777777" w:rsidR="001B74F2" w:rsidRPr="001B74F2" w:rsidRDefault="001B74F2" w:rsidP="001B74F2">
      <w:pPr>
        <w:pStyle w:val="Sinespaciado"/>
        <w:jc w:val="both"/>
        <w:rPr>
          <w:rFonts w:ascii="Arial" w:hAnsi="Arial" w:cs="Arial"/>
          <w:sz w:val="24"/>
          <w:szCs w:val="24"/>
        </w:rPr>
      </w:pPr>
    </w:p>
    <w:p w14:paraId="7EA71B59"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Acompañada por el secretario general del Ayuntamiento, Pablo Gutiérrez Fernández; la secretaria municipal de Obras Públicas y Servicios, Samantha Hernández Cardeña; y el director del Instituto de Planeación de Desarrollo Urbano (IMPLAN), Héctor Sánchez Tirado, constató que la obra se haya realizado conforme </w:t>
      </w:r>
      <w:r w:rsidRPr="001B74F2">
        <w:rPr>
          <w:rFonts w:ascii="Arial" w:hAnsi="Arial" w:cs="Arial"/>
          <w:sz w:val="24"/>
          <w:szCs w:val="24"/>
        </w:rPr>
        <w:lastRenderedPageBreak/>
        <w:t>a los estándares establecidos y verificó la funcionalidad de los semáforos peatonales, al encontrarse el proyecto prácticamente concluido.</w:t>
      </w:r>
    </w:p>
    <w:p w14:paraId="6BD12BE7" w14:textId="77777777" w:rsidR="001B74F2" w:rsidRPr="001B74F2" w:rsidRDefault="001B74F2" w:rsidP="001B74F2">
      <w:pPr>
        <w:pStyle w:val="Sinespaciado"/>
        <w:jc w:val="both"/>
        <w:rPr>
          <w:rFonts w:ascii="Arial" w:hAnsi="Arial" w:cs="Arial"/>
          <w:sz w:val="24"/>
          <w:szCs w:val="24"/>
        </w:rPr>
      </w:pPr>
    </w:p>
    <w:p w14:paraId="528E1F73" w14:textId="611AE33B"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w:t>
      </w:r>
      <w:r>
        <w:rPr>
          <w:rFonts w:ascii="Arial" w:hAnsi="Arial" w:cs="Arial"/>
          <w:sz w:val="24"/>
          <w:szCs w:val="24"/>
        </w:rPr>
        <w:t>**********</w:t>
      </w:r>
    </w:p>
    <w:p w14:paraId="31595339" w14:textId="77777777" w:rsidR="001B74F2" w:rsidRPr="001B74F2" w:rsidRDefault="001B74F2" w:rsidP="001B74F2">
      <w:pPr>
        <w:pStyle w:val="Sinespaciado"/>
        <w:jc w:val="center"/>
        <w:rPr>
          <w:rFonts w:ascii="Arial" w:hAnsi="Arial" w:cs="Arial"/>
          <w:b/>
          <w:bCs/>
          <w:sz w:val="24"/>
          <w:szCs w:val="24"/>
        </w:rPr>
      </w:pPr>
      <w:r w:rsidRPr="001B74F2">
        <w:rPr>
          <w:rFonts w:ascii="Arial" w:hAnsi="Arial" w:cs="Arial"/>
          <w:b/>
          <w:bCs/>
          <w:sz w:val="24"/>
          <w:szCs w:val="24"/>
        </w:rPr>
        <w:t>COMPLEMENTO INFORMATIVO</w:t>
      </w:r>
    </w:p>
    <w:p w14:paraId="4ADA8062" w14:textId="77777777" w:rsidR="001B74F2" w:rsidRPr="001B74F2" w:rsidRDefault="001B74F2" w:rsidP="001B74F2">
      <w:pPr>
        <w:pStyle w:val="Sinespaciado"/>
        <w:jc w:val="both"/>
        <w:rPr>
          <w:rFonts w:ascii="Arial" w:hAnsi="Arial" w:cs="Arial"/>
          <w:b/>
          <w:bCs/>
          <w:sz w:val="24"/>
          <w:szCs w:val="24"/>
        </w:rPr>
      </w:pPr>
    </w:p>
    <w:p w14:paraId="3B7BFECD" w14:textId="77777777" w:rsidR="001B74F2" w:rsidRPr="001B74F2" w:rsidRDefault="001B74F2" w:rsidP="001B74F2">
      <w:pPr>
        <w:pStyle w:val="Sinespaciado"/>
        <w:jc w:val="both"/>
        <w:rPr>
          <w:rFonts w:ascii="Arial" w:hAnsi="Arial" w:cs="Arial"/>
          <w:b/>
          <w:bCs/>
          <w:sz w:val="24"/>
          <w:szCs w:val="24"/>
        </w:rPr>
      </w:pPr>
      <w:r w:rsidRPr="001B74F2">
        <w:rPr>
          <w:rFonts w:ascii="Arial" w:hAnsi="Arial" w:cs="Arial"/>
          <w:b/>
          <w:bCs/>
          <w:sz w:val="24"/>
          <w:szCs w:val="24"/>
        </w:rPr>
        <w:t xml:space="preserve">NUMERALIAS: </w:t>
      </w:r>
    </w:p>
    <w:p w14:paraId="1EEAD817" w14:textId="77777777" w:rsidR="001B74F2" w:rsidRPr="001B74F2" w:rsidRDefault="001B74F2" w:rsidP="001B74F2">
      <w:pPr>
        <w:pStyle w:val="Sinespaciado"/>
        <w:jc w:val="both"/>
        <w:rPr>
          <w:rFonts w:ascii="Arial" w:hAnsi="Arial" w:cs="Arial"/>
          <w:sz w:val="24"/>
          <w:szCs w:val="24"/>
        </w:rPr>
      </w:pPr>
    </w:p>
    <w:p w14:paraId="3270A720"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Modernización de semáforos 2025.</w:t>
      </w:r>
    </w:p>
    <w:p w14:paraId="26C83604"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Alcances de obra:</w:t>
      </w:r>
    </w:p>
    <w:p w14:paraId="69CD048D"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4,395.25 metros cuadrados de carpeta asfáltica de 7 centímetros de espesor </w:t>
      </w:r>
    </w:p>
    <w:p w14:paraId="793491E6"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4,289.35 metros lineales de guarniciones </w:t>
      </w:r>
    </w:p>
    <w:p w14:paraId="70CE2E58"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3,576.93 metros lineales de señalización horizontal</w:t>
      </w:r>
    </w:p>
    <w:p w14:paraId="30D4E7AC"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2,432 piezas de línea podotáctil</w:t>
      </w:r>
    </w:p>
    <w:p w14:paraId="72C87524"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819.63 metros cuadrados de rampa de concreto</w:t>
      </w:r>
    </w:p>
    <w:p w14:paraId="0F42E71C"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242 piezas de bolardos </w:t>
      </w:r>
    </w:p>
    <w:p w14:paraId="14A8C88F"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160 piezas de semáforo peatonal de LED en carcasa color negro </w:t>
      </w:r>
    </w:p>
    <w:p w14:paraId="2A22CFF2"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160 piezas de señal audible para semáforo peatonal </w:t>
      </w:r>
    </w:p>
    <w:p w14:paraId="14904105"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111 piezas de semáforo vehicular de 3 luces con secciones de 30 centímetros de diámetro </w:t>
      </w:r>
    </w:p>
    <w:p w14:paraId="7D1B28F1"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88 piezas de señalización vertical  </w:t>
      </w:r>
    </w:p>
    <w:p w14:paraId="15FE945F"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2 piezas de pozos de absorción </w:t>
      </w:r>
    </w:p>
    <w:p w14:paraId="628ECCDD" w14:textId="77777777" w:rsidR="001B74F2" w:rsidRPr="001B74F2" w:rsidRDefault="001B74F2" w:rsidP="001B74F2">
      <w:pPr>
        <w:pStyle w:val="Sinespaciado"/>
        <w:jc w:val="center"/>
        <w:rPr>
          <w:rFonts w:ascii="Arial" w:hAnsi="Arial" w:cs="Arial"/>
          <w:b/>
          <w:bCs/>
          <w:sz w:val="24"/>
          <w:szCs w:val="24"/>
        </w:rPr>
      </w:pPr>
    </w:p>
    <w:p w14:paraId="1B5617A6" w14:textId="77777777" w:rsidR="001B74F2" w:rsidRPr="001B74F2" w:rsidRDefault="001B74F2" w:rsidP="001B74F2">
      <w:pPr>
        <w:pStyle w:val="Sinespaciado"/>
        <w:jc w:val="center"/>
        <w:rPr>
          <w:rFonts w:ascii="Arial" w:hAnsi="Arial" w:cs="Arial"/>
          <w:b/>
          <w:bCs/>
          <w:sz w:val="24"/>
          <w:szCs w:val="24"/>
        </w:rPr>
      </w:pPr>
      <w:r w:rsidRPr="001B74F2">
        <w:rPr>
          <w:rFonts w:ascii="Arial" w:hAnsi="Arial" w:cs="Arial"/>
          <w:b/>
          <w:bCs/>
          <w:sz w:val="24"/>
          <w:szCs w:val="24"/>
        </w:rPr>
        <w:t>CAJA DE DATOS</w:t>
      </w:r>
    </w:p>
    <w:p w14:paraId="50D5FB38" w14:textId="77777777" w:rsidR="001B74F2" w:rsidRPr="001B74F2" w:rsidRDefault="001B74F2" w:rsidP="001B74F2">
      <w:pPr>
        <w:pStyle w:val="Sinespaciado"/>
        <w:jc w:val="both"/>
        <w:rPr>
          <w:rFonts w:ascii="Arial" w:hAnsi="Arial" w:cs="Arial"/>
          <w:sz w:val="24"/>
          <w:szCs w:val="24"/>
        </w:rPr>
      </w:pPr>
    </w:p>
    <w:p w14:paraId="3C136ADC"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Cruces seguros: </w:t>
      </w:r>
    </w:p>
    <w:p w14:paraId="4FF759C1"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1-Av. 135 con Av. Mallorca (SM. 327) </w:t>
      </w:r>
    </w:p>
    <w:p w14:paraId="5F3B272A"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2-Av. </w:t>
      </w:r>
      <w:proofErr w:type="spellStart"/>
      <w:r w:rsidRPr="001B74F2">
        <w:rPr>
          <w:rFonts w:ascii="Arial" w:hAnsi="Arial" w:cs="Arial"/>
          <w:sz w:val="24"/>
          <w:szCs w:val="24"/>
        </w:rPr>
        <w:t>Chac</w:t>
      </w:r>
      <w:proofErr w:type="spellEnd"/>
      <w:r w:rsidRPr="001B74F2">
        <w:rPr>
          <w:rFonts w:ascii="Arial" w:hAnsi="Arial" w:cs="Arial"/>
          <w:sz w:val="24"/>
          <w:szCs w:val="24"/>
        </w:rPr>
        <w:t xml:space="preserve"> </w:t>
      </w:r>
      <w:proofErr w:type="spellStart"/>
      <w:r w:rsidRPr="001B74F2">
        <w:rPr>
          <w:rFonts w:ascii="Arial" w:hAnsi="Arial" w:cs="Arial"/>
          <w:sz w:val="24"/>
          <w:szCs w:val="24"/>
        </w:rPr>
        <w:t>Mool</w:t>
      </w:r>
      <w:proofErr w:type="spellEnd"/>
      <w:r w:rsidRPr="001B74F2">
        <w:rPr>
          <w:rFonts w:ascii="Arial" w:hAnsi="Arial" w:cs="Arial"/>
          <w:sz w:val="24"/>
          <w:szCs w:val="24"/>
        </w:rPr>
        <w:t xml:space="preserve"> con Av. 1 Norte (SM. 248) </w:t>
      </w:r>
    </w:p>
    <w:p w14:paraId="7B5A5F3B" w14:textId="77777777" w:rsidR="001B74F2" w:rsidRPr="001B74F2" w:rsidRDefault="001B74F2" w:rsidP="001B74F2">
      <w:pPr>
        <w:pStyle w:val="Sinespaciado"/>
        <w:jc w:val="both"/>
        <w:rPr>
          <w:rFonts w:ascii="Arial" w:hAnsi="Arial" w:cs="Arial"/>
          <w:sz w:val="24"/>
          <w:szCs w:val="24"/>
          <w:lang w:val="en-US"/>
        </w:rPr>
      </w:pPr>
      <w:r w:rsidRPr="001B74F2">
        <w:rPr>
          <w:rFonts w:ascii="Arial" w:hAnsi="Arial" w:cs="Arial"/>
          <w:sz w:val="24"/>
          <w:szCs w:val="24"/>
        </w:rPr>
        <w:t xml:space="preserve">3-Av. Orquídea con Av. </w:t>
      </w:r>
      <w:proofErr w:type="spellStart"/>
      <w:r w:rsidRPr="001B74F2">
        <w:rPr>
          <w:rFonts w:ascii="Arial" w:hAnsi="Arial" w:cs="Arial"/>
          <w:sz w:val="24"/>
          <w:szCs w:val="24"/>
          <w:lang w:val="en-US"/>
        </w:rPr>
        <w:t>Lak´in</w:t>
      </w:r>
      <w:proofErr w:type="spellEnd"/>
      <w:r w:rsidRPr="001B74F2">
        <w:rPr>
          <w:rFonts w:ascii="Arial" w:hAnsi="Arial" w:cs="Arial"/>
          <w:sz w:val="24"/>
          <w:szCs w:val="24"/>
          <w:lang w:val="en-US"/>
        </w:rPr>
        <w:t xml:space="preserve"> (SM. 105)</w:t>
      </w:r>
    </w:p>
    <w:p w14:paraId="550446A1"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lang w:val="en-US"/>
        </w:rPr>
        <w:t xml:space="preserve">4-Av. </w:t>
      </w:r>
      <w:proofErr w:type="spellStart"/>
      <w:r w:rsidRPr="001B74F2">
        <w:rPr>
          <w:rFonts w:ascii="Arial" w:hAnsi="Arial" w:cs="Arial"/>
          <w:sz w:val="24"/>
          <w:szCs w:val="24"/>
          <w:lang w:val="en-US"/>
        </w:rPr>
        <w:t>Yaxché</w:t>
      </w:r>
      <w:proofErr w:type="spellEnd"/>
      <w:r w:rsidRPr="001B74F2">
        <w:rPr>
          <w:rFonts w:ascii="Arial" w:hAnsi="Arial" w:cs="Arial"/>
          <w:sz w:val="24"/>
          <w:szCs w:val="24"/>
          <w:lang w:val="en-US"/>
        </w:rPr>
        <w:t xml:space="preserve"> con Av. </w:t>
      </w:r>
      <w:r w:rsidRPr="001B74F2">
        <w:rPr>
          <w:rFonts w:ascii="Arial" w:hAnsi="Arial" w:cs="Arial"/>
          <w:sz w:val="24"/>
          <w:szCs w:val="24"/>
        </w:rPr>
        <w:t>Galaxia del Sol (SM. 251)</w:t>
      </w:r>
    </w:p>
    <w:p w14:paraId="2016736B"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5-Av. Heberto Castillo con Av. </w:t>
      </w:r>
      <w:proofErr w:type="spellStart"/>
      <w:r w:rsidRPr="001B74F2">
        <w:rPr>
          <w:rFonts w:ascii="Arial" w:hAnsi="Arial" w:cs="Arial"/>
          <w:sz w:val="24"/>
          <w:szCs w:val="24"/>
        </w:rPr>
        <w:t>Lak´in</w:t>
      </w:r>
      <w:proofErr w:type="spellEnd"/>
      <w:r w:rsidRPr="001B74F2">
        <w:rPr>
          <w:rFonts w:ascii="Arial" w:hAnsi="Arial" w:cs="Arial"/>
          <w:sz w:val="24"/>
          <w:szCs w:val="24"/>
        </w:rPr>
        <w:t xml:space="preserve"> (SM. 249)</w:t>
      </w:r>
    </w:p>
    <w:p w14:paraId="18569D0D"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6-Av. </w:t>
      </w:r>
      <w:proofErr w:type="spellStart"/>
      <w:r w:rsidRPr="001B74F2">
        <w:rPr>
          <w:rFonts w:ascii="Arial" w:hAnsi="Arial" w:cs="Arial"/>
          <w:sz w:val="24"/>
          <w:szCs w:val="24"/>
        </w:rPr>
        <w:t>Chac</w:t>
      </w:r>
      <w:proofErr w:type="spellEnd"/>
      <w:r w:rsidRPr="001B74F2">
        <w:rPr>
          <w:rFonts w:ascii="Arial" w:hAnsi="Arial" w:cs="Arial"/>
          <w:sz w:val="24"/>
          <w:szCs w:val="24"/>
        </w:rPr>
        <w:t xml:space="preserve"> </w:t>
      </w:r>
      <w:proofErr w:type="spellStart"/>
      <w:r w:rsidRPr="001B74F2">
        <w:rPr>
          <w:rFonts w:ascii="Arial" w:hAnsi="Arial" w:cs="Arial"/>
          <w:sz w:val="24"/>
          <w:szCs w:val="24"/>
        </w:rPr>
        <w:t>Mool</w:t>
      </w:r>
      <w:proofErr w:type="spellEnd"/>
      <w:r w:rsidRPr="001B74F2">
        <w:rPr>
          <w:rFonts w:ascii="Arial" w:hAnsi="Arial" w:cs="Arial"/>
          <w:sz w:val="24"/>
          <w:szCs w:val="24"/>
        </w:rPr>
        <w:t xml:space="preserve"> con Av. Politécnico (SM. 510)</w:t>
      </w:r>
    </w:p>
    <w:p w14:paraId="4DD3B2A5"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7-Av. Kabah con Av. Gonzalo Guerrero (SM. 223)</w:t>
      </w:r>
    </w:p>
    <w:p w14:paraId="4D794340"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8-Av. La Luna con Av. Nichupté (SM. 51) </w:t>
      </w:r>
    </w:p>
    <w:p w14:paraId="4015C9E3" w14:textId="77777777" w:rsidR="001B74F2" w:rsidRPr="001B74F2" w:rsidRDefault="001B74F2" w:rsidP="001B74F2">
      <w:pPr>
        <w:pStyle w:val="Sinespaciado"/>
        <w:jc w:val="both"/>
        <w:rPr>
          <w:rFonts w:ascii="Arial" w:hAnsi="Arial" w:cs="Arial"/>
          <w:sz w:val="24"/>
          <w:szCs w:val="24"/>
        </w:rPr>
      </w:pPr>
      <w:r w:rsidRPr="001B74F2">
        <w:rPr>
          <w:rFonts w:ascii="Arial" w:hAnsi="Arial" w:cs="Arial"/>
          <w:sz w:val="24"/>
          <w:szCs w:val="24"/>
        </w:rPr>
        <w:t xml:space="preserve">9-Av. La Luna con Av. </w:t>
      </w:r>
      <w:proofErr w:type="spellStart"/>
      <w:r w:rsidRPr="001B74F2">
        <w:rPr>
          <w:rFonts w:ascii="Arial" w:hAnsi="Arial" w:cs="Arial"/>
          <w:sz w:val="24"/>
          <w:szCs w:val="24"/>
        </w:rPr>
        <w:t>Kohunlinch</w:t>
      </w:r>
      <w:proofErr w:type="spellEnd"/>
      <w:r w:rsidRPr="001B74F2">
        <w:rPr>
          <w:rFonts w:ascii="Arial" w:hAnsi="Arial" w:cs="Arial"/>
          <w:sz w:val="24"/>
          <w:szCs w:val="24"/>
        </w:rPr>
        <w:t xml:space="preserve"> (SM. 51)</w:t>
      </w:r>
    </w:p>
    <w:p w14:paraId="6B466BBA" w14:textId="1EEEE8ED" w:rsidR="00AB0F61" w:rsidRPr="001B74F2" w:rsidRDefault="001B74F2" w:rsidP="001B74F2">
      <w:pPr>
        <w:pStyle w:val="Sinespaciado"/>
        <w:jc w:val="both"/>
        <w:rPr>
          <w:rFonts w:ascii="Arial" w:hAnsi="Arial" w:cs="Arial"/>
          <w:sz w:val="24"/>
          <w:szCs w:val="24"/>
        </w:rPr>
      </w:pPr>
      <w:r w:rsidRPr="001B74F2">
        <w:rPr>
          <w:rFonts w:ascii="Arial" w:hAnsi="Arial" w:cs="Arial"/>
          <w:sz w:val="24"/>
          <w:szCs w:val="24"/>
        </w:rPr>
        <w:t>10-Av. México con Av. Politécnico (SM. 510)</w:t>
      </w:r>
    </w:p>
    <w:sectPr w:rsidR="00AB0F61" w:rsidRPr="001B74F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7769" w14:textId="77777777" w:rsidR="00E51CA5" w:rsidRDefault="00E51CA5" w:rsidP="0092028B">
      <w:r>
        <w:separator/>
      </w:r>
    </w:p>
  </w:endnote>
  <w:endnote w:type="continuationSeparator" w:id="0">
    <w:p w14:paraId="35B97A2C" w14:textId="77777777" w:rsidR="00E51CA5" w:rsidRDefault="00E51CA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06FC" w14:textId="77777777" w:rsidR="00E51CA5" w:rsidRDefault="00E51CA5" w:rsidP="0092028B">
      <w:r>
        <w:separator/>
      </w:r>
    </w:p>
  </w:footnote>
  <w:footnote w:type="continuationSeparator" w:id="0">
    <w:p w14:paraId="42C94885" w14:textId="77777777" w:rsidR="00E51CA5" w:rsidRDefault="00E51CA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84BC0C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1B74F2">
                            <w:rPr>
                              <w:rFonts w:cstheme="minorHAnsi"/>
                              <w:b/>
                              <w:bCs/>
                              <w:lang w:val="es-ES"/>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84BC0C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1B74F2">
                      <w:rPr>
                        <w:rFonts w:cstheme="minorHAnsi"/>
                        <w:b/>
                        <w:bCs/>
                        <w:lang w:val="es-ES"/>
                      </w:rPr>
                      <w:t>20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540484181">
    <w:abstractNumId w:val="2"/>
  </w:num>
  <w:num w:numId="3" w16cid:durableId="125339858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B74F2"/>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1CA5"/>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2025-12-30T18:18:00Z</dcterms:created>
  <dcterms:modified xsi:type="dcterms:W3CDTF">2025-12-30T18:18:00Z</dcterms:modified>
</cp:coreProperties>
</file>